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484" w:rsidRPr="00BF5484" w:rsidRDefault="00BF5484" w:rsidP="00BF5484">
      <w:pPr>
        <w:numPr>
          <w:ilvl w:val="0"/>
          <w:numId w:val="9"/>
        </w:numPr>
        <w:overflowPunct/>
        <w:autoSpaceDE/>
        <w:autoSpaceDN/>
        <w:adjustRightInd/>
        <w:spacing w:before="100" w:after="40" w:line="228" w:lineRule="auto"/>
        <w:contextualSpacing/>
        <w:textAlignment w:val="auto"/>
        <w:rPr>
          <w:rFonts w:ascii="Tahoma" w:eastAsia="Arial" w:hAnsi="Tahoma" w:cs="Tahoma"/>
          <w:b/>
          <w:color w:val="000000"/>
          <w:sz w:val="22"/>
          <w:szCs w:val="22"/>
          <w:lang w:eastAsia="es-CO"/>
        </w:rPr>
      </w:pPr>
      <w:r>
        <w:rPr>
          <w:rFonts w:ascii="Tahoma" w:eastAsia="Arial" w:hAnsi="Tahoma" w:cs="Tahoma"/>
          <w:b/>
          <w:color w:val="000000"/>
          <w:sz w:val="22"/>
          <w:szCs w:val="22"/>
          <w:lang w:eastAsia="es-CO"/>
        </w:rPr>
        <w:t>BALANCE GENERAL COMPARATIVO</w:t>
      </w:r>
      <w:r w:rsidRPr="00BF5484">
        <w:rPr>
          <w:rFonts w:ascii="Tahoma" w:eastAsia="Arial" w:hAnsi="Tahoma" w:cs="Tahoma"/>
          <w:b/>
          <w:color w:val="000000"/>
          <w:sz w:val="22"/>
          <w:szCs w:val="22"/>
          <w:lang w:eastAsia="es-CO"/>
        </w:rPr>
        <w:t xml:space="preserve"> </w:t>
      </w:r>
    </w:p>
    <w:p w:rsidR="00BF5484" w:rsidRDefault="00BF5484"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FF24DA" w:rsidRPr="00BF5484" w:rsidRDefault="00FF24DA"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BF5484"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r w:rsidRPr="002765A9">
        <w:rPr>
          <w:noProof/>
          <w:lang w:eastAsia="es-CO"/>
        </w:rPr>
        <w:drawing>
          <wp:inline distT="0" distB="0" distL="0" distR="0" wp14:anchorId="2AD6905B" wp14:editId="046CC569">
            <wp:extent cx="5613400" cy="4496448"/>
            <wp:effectExtent l="0" t="0" r="635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3400" cy="4496448"/>
                    </a:xfrm>
                    <a:prstGeom prst="rect">
                      <a:avLst/>
                    </a:prstGeom>
                    <a:noFill/>
                    <a:ln>
                      <a:noFill/>
                    </a:ln>
                  </pic:spPr>
                </pic:pic>
              </a:graphicData>
            </a:graphic>
          </wp:inline>
        </w:drawing>
      </w: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Pr="00BF5484"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BF5484"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r>
        <w:rPr>
          <w:rFonts w:ascii="Tahoma" w:hAnsi="Tahoma" w:cs="Tahoma"/>
          <w:noProof/>
          <w:lang w:eastAsia="es-CO"/>
        </w:rPr>
        <w:lastRenderedPageBreak/>
        <w:drawing>
          <wp:inline distT="0" distB="0" distL="0" distR="0" wp14:anchorId="3EF06B4A" wp14:editId="2850DB43">
            <wp:extent cx="4025900" cy="2414425"/>
            <wp:effectExtent l="0" t="0" r="0" b="508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6069" cy="2414527"/>
                    </a:xfrm>
                    <a:prstGeom prst="rect">
                      <a:avLst/>
                    </a:prstGeom>
                    <a:noFill/>
                  </pic:spPr>
                </pic:pic>
              </a:graphicData>
            </a:graphic>
          </wp:inline>
        </w:drawing>
      </w:r>
    </w:p>
    <w:p w:rsidR="002A1288" w:rsidRDefault="002A1288"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BF5484" w:rsidRPr="00BF5484" w:rsidRDefault="00BF5484" w:rsidP="00BF5484">
      <w:pPr>
        <w:overflowPunct/>
        <w:autoSpaceDE/>
        <w:autoSpaceDN/>
        <w:adjustRightInd/>
        <w:spacing w:line="228" w:lineRule="auto"/>
        <w:textAlignment w:val="auto"/>
        <w:rPr>
          <w:rFonts w:ascii="Tahoma" w:eastAsia="Arial" w:hAnsi="Tahoma" w:cs="Tahoma"/>
          <w:noProof/>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 xml:space="preserve">El Balance General Consolidado del Hospital San Juan de Dios del Municipio de Honda Tolima a 31 de diciembre de 2015, refleja que la entidad prestadora de servicios de salud, contabiliza un total de  activos al cierre del periodo fiscal 2015 en cuantía de  $21.222,6 millones, con un crecimiento respecto a la vigencia 2014 del 30.68% ($4.982,4 millones), teniendo en cuenta que esta última finalizó la vigencia en $16.240,2 millones.  </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 xml:space="preserve">La cuenta de efectivo,  dentro del total del activo representa el  3.20%, finalizando la anualidad del 2015 en $680.5 millones, alcanzando en dicho periodo superar en el 45.14% ($211,6 millones) el valor de la vigencia 2014 que registró la suma de $468,9 millones. </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 xml:space="preserve">Los  recursos que dispone la entidad como efectivo a 31 de diciembre de 2015 se encontraban discriminados de la siguiente manera: En caja la suma de $8,3 millones, saldo que superó en $7.0 millones (539.22%) el registro  de caja a la fecha de cierre de la vigencia   (2014), anualidad  que  alcanzó  la suma de $1,3 millones.  El 98.77% de los recursos restantes se encontraban consignados en Depósitos e Instituciones Financieras, cuenta que registró como saldo final del  periodo fiscal 2015 la suma de $672,2 millones, resultado que al ser comparado con el de la vigencia 2014, refleja  un incremento  del 43.76% representados en $204,6 millones.  </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Los “Deudores” cuenta representativa del Activo (64.50%), superó en $4.249,6 millones (45.02%) el saldo de la vigencia 2014, alcanzando de esta forma una cuantificación de $13.689,5 millones para la vigencia 2015; se observa que el 85.94% del saldo corresponde a “Deudores por Venta de Servicios de salud”, cuenta que presentó un incremento entre las dos vigencias de $4.368,8 millones.</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lastRenderedPageBreak/>
        <w:t xml:space="preserve">El detalle de saldos a nivel de </w:t>
      </w:r>
      <w:proofErr w:type="spellStart"/>
      <w:r w:rsidRPr="002A1288">
        <w:rPr>
          <w:rFonts w:ascii="Tahoma" w:eastAsia="Arial" w:hAnsi="Tahoma" w:cs="Tahoma"/>
          <w:color w:val="000000"/>
          <w:sz w:val="22"/>
          <w:szCs w:val="22"/>
          <w:lang w:eastAsia="es-CO"/>
        </w:rPr>
        <w:t>sub</w:t>
      </w:r>
      <w:proofErr w:type="spellEnd"/>
      <w:r w:rsidRPr="002A1288">
        <w:rPr>
          <w:rFonts w:ascii="Tahoma" w:eastAsia="Arial" w:hAnsi="Tahoma" w:cs="Tahoma"/>
          <w:color w:val="000000"/>
          <w:sz w:val="22"/>
          <w:szCs w:val="22"/>
          <w:lang w:eastAsia="es-CO"/>
        </w:rPr>
        <w:t xml:space="preserve"> cuenta, permite determinar que la administración de la ESE no adelantó las gestiones pertinentes para legalizar los recursos entregados como avances y anticipos, encontrando el ente de control, que el saldo de la vigencia 2015 ($3,8 millones) superó en $0.2 millones el valor alcanzado en la vigencia 2014, en cuya anualidad se registra como saldo final la suma de $3.6 millones.</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La cuenta “Otro Deudores”, a la fecha de cierre de 2015,  por el contrario registra $158,4 millones menos que el valor contabilizado en la vigencia 2014, anualidad que finalizó en $573,8 millones, es decir que para la vigencia analizada, la cuenta alcanzó la suma de $415,4 millones.</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 xml:space="preserve">Los Inventarios de la Entidad Prestadora de Servicios de Salud a 31 de diciembre de 2015 fueron valorizados en $52,3 millones, cifra que al ser comparada con el valor registrado en el 2014 ($19,3 millones), se observa un incremento del  170.9% representados en $33 millones. </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La cuenta “Propiedad, Planta y Equipo” representa dentro del Activo el 14.65% de los recursos de la entidad,  alcanzando a 31 de diciembre de 2015 un saldo de $3.110,9 millones, cuantía que al ser comparado con el de la vigencia anterior (2014),  se determina un incremento  de $524,6 millones, corrido principalmente por las adquisiciones en equipos médicos y variación de los saldos de la cuenta  edificaciones.</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 xml:space="preserve">El  saldo de la cuenta “Otros Activos” al cierre de la anualidad 2015, presentó con respecto a la vigencia 2014, una disminución del 0.98%  representados en  $36.6 millones, resultado que obedeció a la disminución del saldo de  los bienes entregados por anticipado.  </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El grupo de cuentas del Pasivo, presentaron un incremento porcentual en el saldo  entre las vigencias 2014 y 2015 del 27.18% al pasar de $6.578,7 millones en el 2014  a $8.366,5  millones en el 2015. Dentro de este grupo  se puede evidenciar, que la  ESE durante la vigencia 2015 adquirió una obligación financiera que al cierre del periodo fiscal fue contabilizada en $98.9 millones. Las cuentas por Pagar, fueron cuantificadas en $6.278,4 millones,  representan  el 75% del pasivo de la entidad, alcanzando un incremento del 14.03% (772,3 millones) con respecto a la vigencia 2014.</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 xml:space="preserve">Las “Obligaciones Laborales” al cierre del periodo 2015 fueron cuantificadas en $84.9 millones, saldo que sufrió una disminución con respecto a la vigencia 2014 de $54,6 millones (39.15%), concluyendo de esta forma que el Ente Económico adelantó gestiones administrativas que permitieron disminuir las obligaciones a favor de los trabajadores del hospital.  </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La cuenta “Otros Pasivos”  presentó una variación  significativa en el saldo que alcanzó el 183.91%  cuantificando dicho incremento en $846,7 millones  pasando de $460,3 millones en el 2014 a $1.307 millones en el 2015, variación que obedeció al incremento en el saldo de los Recaudos por Clasificar.</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 xml:space="preserve">El Patrimonio  refleja  un aumento en el saldo del 33,07% esto es $3.194,6 millones, pasando  de registrar una participación patrimonial de $9.661,4 millones en el 2014 a $12.856 millones en el 2015, apalancado principalmente por el  “Resultado del Ejercicio” cuya cuenta presentó una variación porcentual del 48,12% ($1.037,8 millones), cuantificando  un mayor valor en el  excedente del ejercicio 2015 de $3.194,6 millones. </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p>
    <w:p w:rsidR="002A1288" w:rsidRPr="002A1288" w:rsidRDefault="002A1288" w:rsidP="002A1288">
      <w:pPr>
        <w:numPr>
          <w:ilvl w:val="0"/>
          <w:numId w:val="12"/>
        </w:numPr>
        <w:overflowPunct/>
        <w:autoSpaceDE/>
        <w:autoSpaceDN/>
        <w:adjustRightInd/>
        <w:spacing w:before="100" w:after="40" w:line="228" w:lineRule="auto"/>
        <w:contextualSpacing/>
        <w:textAlignment w:val="auto"/>
        <w:rPr>
          <w:rFonts w:ascii="Tahoma" w:eastAsia="Arial" w:hAnsi="Tahoma" w:cs="Tahoma"/>
          <w:b/>
          <w:color w:val="000000"/>
          <w:sz w:val="22"/>
          <w:szCs w:val="22"/>
          <w:lang w:eastAsia="es-CO"/>
        </w:rPr>
      </w:pPr>
      <w:r w:rsidRPr="002A1288">
        <w:rPr>
          <w:rFonts w:ascii="Tahoma" w:eastAsia="Arial" w:hAnsi="Tahoma" w:cs="Tahoma"/>
          <w:b/>
          <w:color w:val="000000"/>
          <w:sz w:val="22"/>
          <w:szCs w:val="22"/>
          <w:lang w:eastAsia="es-CO"/>
        </w:rPr>
        <w:t>ESTADO DE ACTIVIDAD FINANCIERA, ECONÓMICA, SOCIAL Y AMBIENTAL COMPARATIVO</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textAlignment w:val="auto"/>
        <w:rPr>
          <w:rFonts w:eastAsia="Arial" w:cs="Arial"/>
          <w:noProof/>
          <w:color w:val="000000"/>
          <w:sz w:val="22"/>
          <w:szCs w:val="22"/>
          <w:lang w:eastAsia="es-CO"/>
        </w:rPr>
      </w:pPr>
      <w:r w:rsidRPr="002A1288">
        <w:rPr>
          <w:rFonts w:eastAsia="Arial" w:cs="Arial"/>
          <w:noProof/>
          <w:color w:val="000000"/>
          <w:sz w:val="22"/>
          <w:szCs w:val="22"/>
          <w:lang w:eastAsia="es-CO"/>
        </w:rPr>
        <w:drawing>
          <wp:inline distT="0" distB="0" distL="0" distR="0" wp14:anchorId="498134AE" wp14:editId="7CCED05F">
            <wp:extent cx="5613400" cy="2464889"/>
            <wp:effectExtent l="0" t="0" r="635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3400" cy="2464889"/>
                    </a:xfrm>
                    <a:prstGeom prst="rect">
                      <a:avLst/>
                    </a:prstGeom>
                    <a:noFill/>
                    <a:ln>
                      <a:noFill/>
                    </a:ln>
                  </pic:spPr>
                </pic:pic>
              </a:graphicData>
            </a:graphic>
          </wp:inline>
        </w:drawing>
      </w:r>
    </w:p>
    <w:p w:rsidR="002A1288" w:rsidRPr="002A1288" w:rsidRDefault="002A1288" w:rsidP="002A1288">
      <w:pPr>
        <w:overflowPunct/>
        <w:autoSpaceDE/>
        <w:autoSpaceDN/>
        <w:adjustRightInd/>
        <w:spacing w:line="228" w:lineRule="auto"/>
        <w:textAlignment w:val="auto"/>
        <w:rPr>
          <w:rFonts w:eastAsia="Arial" w:cs="Arial"/>
          <w:noProof/>
          <w:color w:val="000000"/>
          <w:sz w:val="22"/>
          <w:szCs w:val="22"/>
          <w:lang w:eastAsia="es-CO"/>
        </w:rPr>
      </w:pPr>
    </w:p>
    <w:p w:rsidR="002A1288" w:rsidRDefault="002A1288" w:rsidP="002A1288">
      <w:pPr>
        <w:overflowPunct/>
        <w:autoSpaceDE/>
        <w:autoSpaceDN/>
        <w:adjustRightInd/>
        <w:spacing w:line="228" w:lineRule="auto"/>
        <w:jc w:val="both"/>
        <w:textAlignment w:val="auto"/>
        <w:rPr>
          <w:rFonts w:eastAsia="Arial" w:cs="Arial"/>
          <w:noProof/>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eastAsia="Arial" w:cs="Arial"/>
          <w:noProof/>
          <w:color w:val="000000"/>
          <w:sz w:val="22"/>
          <w:szCs w:val="22"/>
          <w:lang w:eastAsia="es-CO"/>
        </w:rPr>
      </w:pPr>
      <w:r w:rsidRPr="002A1288">
        <w:rPr>
          <w:rFonts w:eastAsia="Arial" w:cs="Arial"/>
          <w:noProof/>
          <w:color w:val="000000"/>
          <w:sz w:val="22"/>
          <w:szCs w:val="22"/>
          <w:lang w:eastAsia="es-CO"/>
        </w:rPr>
        <w:t xml:space="preserve">El Estado de la Actividad Económica de la ESE San Juan de Dios del Municipio de Honda Tolima a 31 de diciembre de 2015, refleja que  producto de las operaciones adelantadas por la entidad durante la vigencia 2015, permitió  un incremento del 8,86%  representados en $1.641,6 en los ingresos del hospital, cuantificando al cierre del periodo 2015 en $20.167,2 millones.  </w:t>
      </w:r>
    </w:p>
    <w:p w:rsidR="002A1288" w:rsidRPr="002A1288" w:rsidRDefault="002A1288" w:rsidP="002A1288">
      <w:pPr>
        <w:overflowPunct/>
        <w:autoSpaceDE/>
        <w:autoSpaceDN/>
        <w:adjustRightInd/>
        <w:spacing w:line="228" w:lineRule="auto"/>
        <w:jc w:val="both"/>
        <w:textAlignment w:val="auto"/>
        <w:rPr>
          <w:rFonts w:eastAsia="Arial" w:cs="Arial"/>
          <w:noProof/>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eastAsia="Arial" w:cs="Arial"/>
          <w:noProof/>
          <w:color w:val="000000"/>
          <w:sz w:val="22"/>
          <w:szCs w:val="22"/>
          <w:lang w:eastAsia="es-CO"/>
        </w:rPr>
      </w:pPr>
      <w:r w:rsidRPr="002A1288">
        <w:rPr>
          <w:rFonts w:eastAsia="Arial" w:cs="Arial"/>
          <w:noProof/>
          <w:color w:val="000000"/>
          <w:sz w:val="22"/>
          <w:szCs w:val="22"/>
          <w:lang w:eastAsia="es-CO"/>
        </w:rPr>
        <w:t>La “Venta de Servicios” representan el 91.1% del total de los ingresos, cuenta que finalizó la anualidad en $18.375,0 millones con un incremento del 10.7% ($1.782,3 millones) con respecto a lo facturado en el 2014 en cuya vigencia alcanzó la suma de $16.592,6 millones. De igual forma ingresaron a las arcas de la entidad por concepto de “Transferencias” la suma de $1.131,2 millones, cifra que superó en $498 millones al valor registrado en la vigencia 2014 ($633.2 millones).</w:t>
      </w:r>
    </w:p>
    <w:p w:rsidR="002A1288" w:rsidRPr="002A1288" w:rsidRDefault="002A1288" w:rsidP="002A1288">
      <w:pPr>
        <w:overflowPunct/>
        <w:autoSpaceDE/>
        <w:autoSpaceDN/>
        <w:adjustRightInd/>
        <w:spacing w:line="228" w:lineRule="auto"/>
        <w:jc w:val="both"/>
        <w:textAlignment w:val="auto"/>
        <w:rPr>
          <w:rFonts w:eastAsia="Arial" w:cs="Arial"/>
          <w:noProof/>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eastAsia="Arial" w:cs="Arial"/>
          <w:noProof/>
          <w:color w:val="000000"/>
          <w:sz w:val="22"/>
          <w:szCs w:val="22"/>
          <w:lang w:eastAsia="es-CO"/>
        </w:rPr>
      </w:pPr>
      <w:r w:rsidRPr="002A1288">
        <w:rPr>
          <w:rFonts w:eastAsia="Arial" w:cs="Arial"/>
          <w:noProof/>
          <w:color w:val="000000"/>
          <w:sz w:val="22"/>
          <w:szCs w:val="22"/>
          <w:lang w:eastAsia="es-CO"/>
        </w:rPr>
        <w:t>La cuenta “Otros Ingresos” por el contrario presentó una disminución del 49.14%, pasando de registrar $1.299,7 millones en el 2014 a $660,9 millones en el 2015.</w:t>
      </w:r>
    </w:p>
    <w:p w:rsidR="002A1288" w:rsidRPr="002A1288" w:rsidRDefault="002A1288" w:rsidP="002A1288">
      <w:pPr>
        <w:overflowPunct/>
        <w:autoSpaceDE/>
        <w:autoSpaceDN/>
        <w:adjustRightInd/>
        <w:spacing w:line="228" w:lineRule="auto"/>
        <w:textAlignment w:val="auto"/>
        <w:rPr>
          <w:rFonts w:eastAsia="Arial" w:cs="Arial"/>
          <w:noProof/>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lastRenderedPageBreak/>
        <w:t>Los Gastos mantuvieron un comportamiento de decrecimiento entre las vigencias (2014-2015) representados en un 7.45% ($325 millones), pasando de contabilizar en la vigencia 2014 la suma de $4.364,9 millones a $4.039,8 millones en el 2015, apalancado principalmente por la contabilización de provisiones, depreciaciones y amortizaciones, cuya cuenta disminuyó en un 64,53% el saldo de la vigencia 2014.</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eastAsia="Arial" w:cs="Arial"/>
          <w:noProof/>
          <w:color w:val="000000"/>
          <w:sz w:val="22"/>
          <w:szCs w:val="22"/>
          <w:lang w:eastAsia="es-CO"/>
        </w:rPr>
      </w:pPr>
      <w:r w:rsidRPr="002A1288">
        <w:rPr>
          <w:rFonts w:ascii="Tahoma" w:eastAsia="Arial" w:hAnsi="Tahoma" w:cs="Tahoma"/>
          <w:color w:val="000000"/>
          <w:sz w:val="22"/>
          <w:szCs w:val="22"/>
          <w:lang w:eastAsia="es-CO"/>
        </w:rPr>
        <w:t xml:space="preserve"> Los gastos de administración y generales presentaron un crecimiento entre las dos vigencias del 23.02% y 38,77% respectivamente, mientras que los de operación disminuyeron  en un 43.16% pasando de contabilizar $18 millones en el 2014 a $10.2 millones en el 2015. </w:t>
      </w:r>
    </w:p>
    <w:p w:rsidR="002A1288" w:rsidRPr="002A1288" w:rsidRDefault="002A1288" w:rsidP="002A1288">
      <w:pPr>
        <w:overflowPunct/>
        <w:autoSpaceDE/>
        <w:autoSpaceDN/>
        <w:adjustRightInd/>
        <w:spacing w:line="228" w:lineRule="auto"/>
        <w:textAlignment w:val="auto"/>
        <w:rPr>
          <w:rFonts w:eastAsia="Arial" w:cs="Arial"/>
          <w:noProof/>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La cuenta “Otros gastos” conservaron el crecimiento porcentual en el saldo obtenido en vigencias anteriores, alcanzando entre las vigencias 2014 y 2015, un mayor valor de $198,3 millones, cifra que representa el 19.68% registrando  en el 2014 por este concepto la suma de $1.008 millones a $1.206,3 millones en el 2015.</w:t>
      </w:r>
    </w:p>
    <w:p w:rsidR="002A1288" w:rsidRPr="002A1288" w:rsidRDefault="002A1288" w:rsidP="002A1288">
      <w:pPr>
        <w:overflowPunct/>
        <w:autoSpaceDE/>
        <w:autoSpaceDN/>
        <w:adjustRightInd/>
        <w:spacing w:line="228" w:lineRule="auto"/>
        <w:textAlignment w:val="auto"/>
        <w:rPr>
          <w:rFonts w:eastAsia="Arial" w:cs="Arial"/>
          <w:noProof/>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b/>
          <w:color w:val="000000"/>
          <w:sz w:val="22"/>
          <w:szCs w:val="22"/>
          <w:lang w:eastAsia="es-CO"/>
        </w:rPr>
      </w:pPr>
      <w:r w:rsidRPr="002A1288">
        <w:rPr>
          <w:rFonts w:ascii="Tahoma" w:eastAsia="Arial" w:hAnsi="Tahoma" w:cs="Tahoma"/>
          <w:b/>
          <w:color w:val="000000"/>
          <w:sz w:val="22"/>
          <w:szCs w:val="22"/>
          <w:lang w:eastAsia="es-CO"/>
        </w:rPr>
        <w:t>APLICACIÓN DE INDICADORES FINANCIEROS</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p>
    <w:p w:rsidR="002A1288" w:rsidRPr="002A1288" w:rsidRDefault="002A1288" w:rsidP="002A1288">
      <w:pPr>
        <w:numPr>
          <w:ilvl w:val="1"/>
          <w:numId w:val="12"/>
        </w:numPr>
        <w:overflowPunct/>
        <w:autoSpaceDE/>
        <w:autoSpaceDN/>
        <w:adjustRightInd/>
        <w:spacing w:before="100" w:after="40" w:line="228" w:lineRule="auto"/>
        <w:contextualSpacing/>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Indicadores de liquidez y Solvencia</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Razón Corriente: Nos muestra la capacidad que tiene la entidad para cubrir sus deudas en el corto plazo, ya que indica por cada peso que se debe, con cuantos se cuenta para respaldarlo.</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Formula: Activo Corriente / Pasivo Corriente</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Activo Corriente:</w:t>
      </w:r>
    </w:p>
    <w:p w:rsidR="002A1288" w:rsidRPr="002A1288" w:rsidRDefault="002A1288" w:rsidP="002A1288">
      <w:pPr>
        <w:overflowPunct/>
        <w:autoSpaceDE/>
        <w:autoSpaceDN/>
        <w:adjustRightInd/>
        <w:spacing w:before="100" w:after="40"/>
        <w:jc w:val="both"/>
        <w:textAlignment w:val="auto"/>
        <w:rPr>
          <w:rFonts w:ascii="Tahoma" w:hAnsi="Tahoma" w:cs="Tahoma"/>
          <w:sz w:val="22"/>
          <w:szCs w:val="22"/>
          <w:lang w:eastAsia="es-CO"/>
        </w:rPr>
      </w:pPr>
      <w:r w:rsidRPr="002A1288">
        <w:rPr>
          <w:rFonts w:ascii="Tahoma" w:eastAsia="Arial" w:hAnsi="Tahoma" w:cs="Tahoma"/>
          <w:color w:val="000000"/>
          <w:sz w:val="22"/>
          <w:szCs w:val="22"/>
          <w:lang w:eastAsia="es-CO"/>
        </w:rPr>
        <w:t>Efectivo</w:t>
      </w: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t>$</w:t>
      </w:r>
      <w:r w:rsidRPr="002A1288">
        <w:rPr>
          <w:rFonts w:eastAsia="Arial" w:cs="Arial"/>
          <w:color w:val="000000"/>
          <w:sz w:val="20"/>
          <w:lang w:eastAsia="es-CO"/>
        </w:rPr>
        <w:t xml:space="preserve"> </w:t>
      </w:r>
      <w:r w:rsidRPr="002A1288">
        <w:rPr>
          <w:rFonts w:ascii="Tahoma" w:hAnsi="Tahoma" w:cs="Tahoma"/>
          <w:sz w:val="22"/>
          <w:szCs w:val="22"/>
          <w:lang w:eastAsia="es-CO"/>
        </w:rPr>
        <w:t xml:space="preserve">   680.592</w:t>
      </w:r>
      <w:r w:rsidRPr="002A1288">
        <w:rPr>
          <w:rFonts w:ascii="Tahoma" w:eastAsia="Arial" w:hAnsi="Tahoma" w:cs="Tahoma"/>
          <w:color w:val="000000"/>
          <w:sz w:val="22"/>
          <w:szCs w:val="22"/>
          <w:lang w:eastAsia="es-CO"/>
        </w:rPr>
        <w:tab/>
        <w:t xml:space="preserve">    </w:t>
      </w:r>
    </w:p>
    <w:p w:rsidR="002A1288" w:rsidRPr="002A1288" w:rsidRDefault="002A1288" w:rsidP="002A1288">
      <w:pPr>
        <w:overflowPunct/>
        <w:autoSpaceDE/>
        <w:autoSpaceDN/>
        <w:adjustRightInd/>
        <w:spacing w:before="100" w:after="40"/>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Deudores</w:t>
      </w: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t xml:space="preserve"> 13.689.514</w:t>
      </w:r>
    </w:p>
    <w:p w:rsidR="002A1288" w:rsidRPr="002A1288" w:rsidRDefault="002A1288" w:rsidP="002A1288">
      <w:pPr>
        <w:overflowPunct/>
        <w:autoSpaceDE/>
        <w:autoSpaceDN/>
        <w:adjustRightInd/>
        <w:spacing w:before="100" w:after="40"/>
        <w:jc w:val="both"/>
        <w:textAlignment w:val="auto"/>
        <w:rPr>
          <w:rFonts w:ascii="Tahoma" w:hAnsi="Tahoma" w:cs="Tahoma"/>
          <w:sz w:val="22"/>
          <w:szCs w:val="22"/>
          <w:lang w:eastAsia="es-CO"/>
        </w:rPr>
      </w:pPr>
      <w:r w:rsidRPr="002A1288">
        <w:rPr>
          <w:rFonts w:ascii="Tahoma" w:eastAsia="Arial" w:hAnsi="Tahoma" w:cs="Tahoma"/>
          <w:color w:val="000000"/>
          <w:sz w:val="22"/>
          <w:szCs w:val="22"/>
          <w:lang w:eastAsia="es-CO"/>
        </w:rPr>
        <w:t>Otros Deudores              415.409</w:t>
      </w:r>
    </w:p>
    <w:p w:rsidR="002A1288" w:rsidRPr="002A1288" w:rsidRDefault="002A1288" w:rsidP="002A1288">
      <w:pPr>
        <w:overflowPunct/>
        <w:autoSpaceDE/>
        <w:autoSpaceDN/>
        <w:adjustRightInd/>
        <w:spacing w:before="100" w:after="40"/>
        <w:jc w:val="both"/>
        <w:textAlignment w:val="auto"/>
        <w:rPr>
          <w:rFonts w:ascii="Tahoma" w:hAnsi="Tahoma" w:cs="Tahoma"/>
          <w:sz w:val="22"/>
          <w:szCs w:val="22"/>
          <w:lang w:eastAsia="es-CO"/>
        </w:rPr>
      </w:pPr>
      <w:r w:rsidRPr="002A1288">
        <w:rPr>
          <w:rFonts w:ascii="Tahoma" w:hAnsi="Tahoma" w:cs="Tahoma"/>
          <w:sz w:val="22"/>
          <w:szCs w:val="22"/>
          <w:lang w:eastAsia="es-CO"/>
        </w:rPr>
        <w:t>Inventarios                      52.392</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t>--------------------</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t>$14.837.907</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Pasivo Corriente:</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Obligaciones Financieras      $98.962</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Cuentas por Pagar         $ 6.278.492</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Obligaciones Laborales          84.923</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 xml:space="preserve">    </w:t>
      </w: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t xml:space="preserve">          -------------------</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r>
      <w:r w:rsidRPr="002A1288">
        <w:rPr>
          <w:rFonts w:ascii="Tahoma" w:eastAsia="Arial" w:hAnsi="Tahoma" w:cs="Tahoma"/>
          <w:color w:val="000000"/>
          <w:sz w:val="22"/>
          <w:szCs w:val="22"/>
          <w:lang w:eastAsia="es-CO"/>
        </w:rPr>
        <w:tab/>
        <w:t xml:space="preserve">              $6.462.377</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lastRenderedPageBreak/>
        <w:t>Razón Corriente  $14.837.907 / $6.462.377 = 2.29</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 xml:space="preserve"> </w:t>
      </w: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El anterior resultado nos muestra que por cada peso que la ESE “San Juan de Dios del Municipio de Honda” debe a corto plazo, cuenta con $2.29  pesos en activos corriente para cubrirlos, lo que significa  la  liquidez de la entidad  para cubrir sus pasivos de corto plazo.</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CAPITAL NETO DE TRABAJO</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El capital neto de trabajo es el resultado de restar del activo corriente los pasivos a corto plazo de la entidad. El capital de trabajo se considera como aquellos recursos que necesita la entidad para operar.</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Formula: Activo Corriente – Pasivo Corriente</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$14.837.907 - $6.462.377 = $8.375.530</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El anterior resultado nos indica que la entidad cuenta con suficientes recursos propios para operar.</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NIVEL DE ENDEUDAMIENTO</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Este indicador nos presenta el porcentaje de participación de los acreedores dentro de los activos de la ESE Hospital San Juan de Dios  del Municipio de Honda Tolima.</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Formula: Pasivo Total con Terceros / Activo Total</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$6.462.377 /$21.222.631 = 30.45%</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El anterior resultado nos indica que del total de activos que posee la ESE Hospital San Juan de Dios  del Municipio de Honda Tolima, el  30.45% está siendo financiado por los acreedores.</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RAZÓN DEL PATRIMONIO</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Nos muestra hasta qué punto la entidad tiene independencia financiera ante sus acreedores, se determina dividiendo el valor del patrimonio entre el activo total.</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Formula: Patrimonio Total / Activo Total</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$12.856.061 /$21.222.631  = 60.57%</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lastRenderedPageBreak/>
        <w:t>El porcentaje establecido anteriormente nos indica que el  60.57% de los activos, están siendo financiados con capital propio.</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numPr>
          <w:ilvl w:val="0"/>
          <w:numId w:val="12"/>
        </w:numPr>
        <w:overflowPunct/>
        <w:autoSpaceDE/>
        <w:autoSpaceDN/>
        <w:adjustRightInd/>
        <w:spacing w:before="100" w:after="40" w:line="228" w:lineRule="auto"/>
        <w:contextualSpacing/>
        <w:jc w:val="both"/>
        <w:textAlignment w:val="auto"/>
        <w:rPr>
          <w:rFonts w:ascii="Tahoma" w:eastAsia="Arial" w:hAnsi="Tahoma" w:cs="Tahoma"/>
          <w:b/>
          <w:color w:val="000000"/>
          <w:sz w:val="22"/>
          <w:szCs w:val="22"/>
          <w:lang w:eastAsia="es-CO"/>
        </w:rPr>
      </w:pPr>
      <w:r w:rsidRPr="002A1288">
        <w:rPr>
          <w:rFonts w:ascii="Tahoma" w:eastAsia="Arial" w:hAnsi="Tahoma" w:cs="Tahoma"/>
          <w:b/>
          <w:color w:val="000000"/>
          <w:sz w:val="22"/>
          <w:szCs w:val="22"/>
          <w:lang w:eastAsia="es-CO"/>
        </w:rPr>
        <w:t>CONCEPTUALIZACION SOBRE LOS ESTADOS FINANCIEROS 2015</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 xml:space="preserve">La ESE Hospital San Juan de Dios del Municipio de Honda Tolima, de acuerdo con su Balance General terminado en la fecha 31 de diciembre de 2015, se observa que sus activos totales crecieron un 30.68% en la suma de  $4.982,4 millones, con relación al periodo 2014. </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Su patrimonio creció un 33.07%, apalancado principalmente por la cuenta “Resultado del Ejercicio” que  finalizó la anualidad 2015, con un excedente en el periodo contable  de $3.194,6 millones después de haber finalizado el 2014 en $2.156,7 millones.</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 xml:space="preserve"> </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Su estructura financiera al cierre del periodo contable 2015, estaba representada en el 39.42% los pasivos y el 60.57% el patrimonio.</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La entidad  presenta un nivel de endeudamiento medio respecto al total de sus activos, alcanzando un margen del 30.45%.</w:t>
      </w: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p>
    <w:p w:rsidR="002A1288" w:rsidRPr="002A1288" w:rsidRDefault="002A1288" w:rsidP="002A1288">
      <w:pPr>
        <w:overflowPunct/>
        <w:autoSpaceDE/>
        <w:autoSpaceDN/>
        <w:adjustRightInd/>
        <w:spacing w:line="228" w:lineRule="auto"/>
        <w:jc w:val="both"/>
        <w:textAlignment w:val="auto"/>
        <w:rPr>
          <w:rFonts w:ascii="Tahoma" w:eastAsia="Arial" w:hAnsi="Tahoma" w:cs="Tahoma"/>
          <w:color w:val="000000"/>
          <w:sz w:val="22"/>
          <w:szCs w:val="22"/>
          <w:lang w:eastAsia="es-CO"/>
        </w:rPr>
      </w:pPr>
      <w:r w:rsidRPr="002A1288">
        <w:rPr>
          <w:rFonts w:ascii="Tahoma" w:eastAsia="Arial" w:hAnsi="Tahoma" w:cs="Tahoma"/>
          <w:color w:val="000000"/>
          <w:sz w:val="22"/>
          <w:szCs w:val="22"/>
          <w:lang w:eastAsia="es-CO"/>
        </w:rPr>
        <w:t>De acuerdo con los resultados de sus indicadores podemos concluir que la ESE Hospital San Juan de Dios  del Municipio de Honda Tolima,   al corte del 31 de diciembre de 2015, presentaba una situación financiera favorable.</w:t>
      </w:r>
      <w:bookmarkStart w:id="0" w:name="_GoBack"/>
      <w:bookmarkEnd w:id="0"/>
    </w:p>
    <w:sectPr w:rsidR="002A1288" w:rsidRPr="002A1288" w:rsidSect="00534F9E">
      <w:headerReference w:type="default" r:id="rId11"/>
      <w:footerReference w:type="default" r:id="rId12"/>
      <w:pgSz w:w="12240" w:h="15840" w:code="1"/>
      <w:pgMar w:top="2430" w:right="1418" w:bottom="2268" w:left="1758"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95F" w:rsidRDefault="0021495F" w:rsidP="00650A99">
      <w:r>
        <w:separator/>
      </w:r>
    </w:p>
  </w:endnote>
  <w:endnote w:type="continuationSeparator" w:id="0">
    <w:p w:rsidR="0021495F" w:rsidRDefault="0021495F"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46E" w:rsidRDefault="006C646E" w:rsidP="00650A99">
    <w:pPr>
      <w:pStyle w:val="Piedepgina"/>
      <w:jc w:val="center"/>
      <w:rPr>
        <w:rFonts w:cs="Arial"/>
        <w:sz w:val="20"/>
      </w:rPr>
    </w:pPr>
    <w:r>
      <w:rPr>
        <w:rFonts w:cs="Arial"/>
        <w:sz w:val="20"/>
      </w:rPr>
      <w:t>______________________________________________________________</w:t>
    </w:r>
  </w:p>
  <w:p w:rsidR="006C646E" w:rsidRPr="002059E3" w:rsidRDefault="006C646E" w:rsidP="00650A99">
    <w:pPr>
      <w:pStyle w:val="Piedepgina"/>
      <w:jc w:val="center"/>
      <w:rPr>
        <w:rFonts w:cs="Arial"/>
        <w:sz w:val="20"/>
      </w:rPr>
    </w:pPr>
    <w:r>
      <w:rPr>
        <w:noProof/>
        <w:lang w:eastAsia="es-CO"/>
      </w:rPr>
      <mc:AlternateContent>
        <mc:Choice Requires="wps">
          <w:drawing>
            <wp:anchor distT="0" distB="0" distL="114300" distR="114300" simplePos="0" relativeHeight="251673600" behindDoc="0" locked="0" layoutInCell="1" allowOverlap="1" wp14:anchorId="32ADF9F7" wp14:editId="575B56EA">
              <wp:simplePos x="0" y="0"/>
              <wp:positionH relativeFrom="column">
                <wp:posOffset>4246245</wp:posOffset>
              </wp:positionH>
              <wp:positionV relativeFrom="paragraph">
                <wp:posOffset>114300</wp:posOffset>
              </wp:positionV>
              <wp:extent cx="2302510" cy="955040"/>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2510" cy="955040"/>
                      </a:xfrm>
                      <a:prstGeom prst="rect">
                        <a:avLst/>
                      </a:prstGeom>
                      <a:noFill/>
                      <a:ln w="9525">
                        <a:noFill/>
                        <a:miter lim="800000"/>
                        <a:headEnd/>
                        <a:tailEnd/>
                      </a:ln>
                    </wps:spPr>
                    <wps:txbx>
                      <w:txbxContent>
                        <w:p w:rsidR="006C646E" w:rsidRDefault="006C646E"/>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ADF9F7" id="_x0000_t202" coordsize="21600,21600" o:spt="202" path="m,l,21600r21600,l21600,xe">
              <v:stroke joinstyle="miter"/>
              <v:path gradientshapeok="t" o:connecttype="rect"/>
            </v:shapetype>
            <v:shape id="_x0000_s1027" type="#_x0000_t202" style="position:absolute;left:0;text-align:left;margin-left:334.35pt;margin-top:9pt;width:181.3pt;height:75.2pt;z-index:2516736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" filled="f" stroked="f">
              <v:textbox style="mso-fit-shape-to-text:t">
                <w:txbxContent>
                  <w:p w:rsidR="006C646E" w:rsidRDefault="006C646E"/>
                </w:txbxContent>
              </v:textbox>
            </v:shape>
          </w:pict>
        </mc:Fallback>
      </mc:AlternateContent>
    </w:r>
    <w:r w:rsidRPr="002059E3">
      <w:rPr>
        <w:rFonts w:cs="Arial"/>
        <w:sz w:val="20"/>
      </w:rPr>
      <w:t xml:space="preserve">Edificio Gobernación del Tolima Piso 7 </w:t>
    </w:r>
    <w:r>
      <w:rPr>
        <w:rFonts w:cs="Arial"/>
        <w:sz w:val="20"/>
      </w:rPr>
      <w:t xml:space="preserve">- </w:t>
    </w:r>
    <w:r w:rsidRPr="002059E3">
      <w:rPr>
        <w:rFonts w:cs="Arial"/>
        <w:sz w:val="20"/>
      </w:rPr>
      <w:t>Conmutador 2 61 11 67 Ibagué</w:t>
    </w:r>
  </w:p>
  <w:p w:rsidR="006C646E" w:rsidRPr="002059E3" w:rsidRDefault="006C646E" w:rsidP="00650A99">
    <w:pPr>
      <w:pStyle w:val="Piedepgina"/>
      <w:jc w:val="center"/>
      <w:rPr>
        <w:rFonts w:cs="Arial"/>
        <w:sz w:val="20"/>
        <w:lang w:val="en-US"/>
      </w:rPr>
    </w:pPr>
    <w:r w:rsidRPr="002059E3">
      <w:rPr>
        <w:rFonts w:cs="Arial"/>
        <w:sz w:val="20"/>
        <w:lang w:val="en-US"/>
      </w:rPr>
      <w:t xml:space="preserve">Web-site: </w:t>
    </w:r>
    <w:hyperlink r:id="rId1" w:history="1">
      <w:r w:rsidRPr="00650A99">
        <w:rPr>
          <w:rStyle w:val="Hipervnculo"/>
          <w:rFonts w:cs="Arial"/>
          <w:color w:val="auto"/>
          <w:sz w:val="20"/>
          <w:u w:val="none"/>
          <w:lang w:val="en-US"/>
        </w:rPr>
        <w:t>www.contraloriatolima.gov.co</w:t>
      </w:r>
    </w:hyperlink>
  </w:p>
  <w:p w:rsidR="006C646E" w:rsidRPr="0070120A" w:rsidRDefault="006C646E">
    <w:pPr>
      <w:pStyle w:val="Piedepgina"/>
      <w:rPr>
        <w:lang w:val="en-US"/>
      </w:rPr>
    </w:pPr>
    <w:r>
      <w:rPr>
        <w:lang w:val="en-US"/>
      </w:rPr>
      <w:t xml:space="preserve">                        </w:t>
    </w:r>
    <w:r>
      <w:rPr>
        <w:lang w:val="en-US"/>
      </w:rPr>
      <w:tab/>
    </w:r>
    <w:r>
      <w:rPr>
        <w:lang w:val="en-US"/>
      </w:rPr>
      <w:tab/>
      <w:t xml:space="preserve">                     </w:t>
    </w:r>
    <w:r>
      <w:rPr>
        <w:lang w:val="en-US"/>
      </w:rPr>
      <w:tab/>
    </w:r>
    <w:r>
      <w:rPr>
        <w:lang w:val="en-US"/>
      </w:rPr>
      <w:tab/>
    </w:r>
    <w:r>
      <w:rPr>
        <w:lang w:val="en-US"/>
      </w:rPr>
      <w:tab/>
    </w:r>
    <w:r>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95F" w:rsidRDefault="0021495F" w:rsidP="00650A99">
      <w:r>
        <w:separator/>
      </w:r>
    </w:p>
  </w:footnote>
  <w:footnote w:type="continuationSeparator" w:id="0">
    <w:p w:rsidR="0021495F" w:rsidRDefault="0021495F"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F9E" w:rsidRDefault="006C646E">
    <w:pPr>
      <w:pStyle w:val="Encabezado"/>
      <w:rPr>
        <w:noProof/>
        <w:lang w:eastAsia="es-CO"/>
      </w:rPr>
    </w:pPr>
    <w:r>
      <w:rPr>
        <w:noProof/>
        <w:lang w:eastAsia="es-CO"/>
      </w:rPr>
      <mc:AlternateContent>
        <mc:Choice Requires="wps">
          <w:drawing>
            <wp:anchor distT="0" distB="0" distL="114300" distR="114300" simplePos="0" relativeHeight="251677696" behindDoc="0" locked="0" layoutInCell="1" allowOverlap="1" wp14:anchorId="26215F0D" wp14:editId="69483E07">
              <wp:simplePos x="0" y="0"/>
              <wp:positionH relativeFrom="column">
                <wp:posOffset>5981700</wp:posOffset>
              </wp:positionH>
              <wp:positionV relativeFrom="paragraph">
                <wp:posOffset>2516505</wp:posOffset>
              </wp:positionV>
              <wp:extent cx="772795" cy="5320030"/>
              <wp:effectExtent l="0" t="0" r="0" b="508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795" cy="5320030"/>
                      </a:xfrm>
                      <a:prstGeom prst="rect">
                        <a:avLst/>
                      </a:prstGeom>
                      <a:noFill/>
                      <a:ln w="9525">
                        <a:noFill/>
                        <a:miter lim="800000"/>
                        <a:headEnd/>
                        <a:tailEnd/>
                      </a:ln>
                    </wps:spPr>
                    <wps:txbx>
                      <w:txbxContent>
                        <w:p w:rsidR="006C646E" w:rsidRDefault="006C646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215F0D" id="_x0000_t202" coordsize="21600,21600" o:spt="202" path="m,l,21600r21600,l21600,xe">
              <v:stroke joinstyle="miter"/>
              <v:path gradientshapeok="t" o:connecttype="rect"/>
            </v:shapetype>
            <v:shape id="Cuadro de texto 2" o:spid="_x0000_s1026" type="#_x0000_t202" style="position:absolute;margin-left:471pt;margin-top:198.15pt;width:60.85pt;height:418.9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" filled="f" stroked="f">
              <v:textbox style="mso-fit-shape-to-text:t">
                <w:txbxContent>
                  <w:p w:rsidR="006C646E" w:rsidRDefault="006C646E"/>
                </w:txbxContent>
              </v:textbox>
            </v:shape>
          </w:pict>
        </mc:Fallback>
      </mc:AlternateContent>
    </w:r>
  </w:p>
  <w:p w:rsidR="006C646E" w:rsidRDefault="00534F9E">
    <w:pPr>
      <w:pStyle w:val="Encabezado"/>
    </w:pPr>
    <w:r>
      <w:rPr>
        <w:noProof/>
        <w:lang w:eastAsia="es-CO"/>
      </w:rPr>
      <w:drawing>
        <wp:inline distT="0" distB="0" distL="0" distR="0" wp14:anchorId="13807740" wp14:editId="426B8A85">
          <wp:extent cx="1514475" cy="1219200"/>
          <wp:effectExtent l="0" t="0" r="952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14475" cy="1219200"/>
                  </a:xfrm>
                  <a:prstGeom prst="rect">
                    <a:avLst/>
                  </a:prstGeom>
                </pic:spPr>
              </pic:pic>
            </a:graphicData>
          </a:graphic>
        </wp:inline>
      </w:drawing>
    </w:r>
  </w:p>
  <w:p w:rsidR="00534F9E" w:rsidRDefault="00534F9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44A86"/>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7927A80"/>
    <w:multiLevelType w:val="hybridMultilevel"/>
    <w:tmpl w:val="B220F46E"/>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78422C0"/>
    <w:multiLevelType w:val="hybridMultilevel"/>
    <w:tmpl w:val="920E93BE"/>
    <w:lvl w:ilvl="0" w:tplc="579A028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C962733"/>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408611DE"/>
    <w:multiLevelType w:val="hybridMultilevel"/>
    <w:tmpl w:val="2FE027E4"/>
    <w:lvl w:ilvl="0" w:tplc="24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14A5982"/>
    <w:multiLevelType w:val="hybridMultilevel"/>
    <w:tmpl w:val="4816C7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64FF467D"/>
    <w:multiLevelType w:val="hybridMultilevel"/>
    <w:tmpl w:val="DEB09BFE"/>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698033D0"/>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6C0D7B69"/>
    <w:multiLevelType w:val="hybridMultilevel"/>
    <w:tmpl w:val="B3346AAC"/>
    <w:lvl w:ilvl="0" w:tplc="24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32346FF"/>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5260F29"/>
    <w:multiLevelType w:val="hybridMultilevel"/>
    <w:tmpl w:val="B91034D4"/>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7601466A"/>
    <w:multiLevelType w:val="hybridMultilevel"/>
    <w:tmpl w:val="02582F7A"/>
    <w:lvl w:ilvl="0" w:tplc="240A0009">
      <w:start w:val="1"/>
      <w:numFmt w:val="bullet"/>
      <w:lvlText w:val=""/>
      <w:lvlJc w:val="left"/>
      <w:pPr>
        <w:ind w:left="780" w:hanging="360"/>
      </w:pPr>
      <w:rPr>
        <w:rFonts w:ascii="Wingdings" w:hAnsi="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num w:numId="1">
    <w:abstractNumId w:val="2"/>
  </w:num>
  <w:num w:numId="2">
    <w:abstractNumId w:val="5"/>
  </w:num>
  <w:num w:numId="3">
    <w:abstractNumId w:val="8"/>
  </w:num>
  <w:num w:numId="4">
    <w:abstractNumId w:val="4"/>
  </w:num>
  <w:num w:numId="5">
    <w:abstractNumId w:val="11"/>
  </w:num>
  <w:num w:numId="6">
    <w:abstractNumId w:val="10"/>
  </w:num>
  <w:num w:numId="7">
    <w:abstractNumId w:val="6"/>
  </w:num>
  <w:num w:numId="8">
    <w:abstractNumId w:val="1"/>
  </w:num>
  <w:num w:numId="9">
    <w:abstractNumId w:val="7"/>
  </w:num>
  <w:num w:numId="10">
    <w:abstractNumId w:val="9"/>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0A8D"/>
    <w:rsid w:val="00000B8E"/>
    <w:rsid w:val="000019BB"/>
    <w:rsid w:val="00003469"/>
    <w:rsid w:val="00004EFE"/>
    <w:rsid w:val="000072CF"/>
    <w:rsid w:val="000117D2"/>
    <w:rsid w:val="000130C3"/>
    <w:rsid w:val="00014ACF"/>
    <w:rsid w:val="000217D4"/>
    <w:rsid w:val="00021A39"/>
    <w:rsid w:val="00027130"/>
    <w:rsid w:val="0004099C"/>
    <w:rsid w:val="00041446"/>
    <w:rsid w:val="000535CD"/>
    <w:rsid w:val="0007160A"/>
    <w:rsid w:val="00074463"/>
    <w:rsid w:val="0007576E"/>
    <w:rsid w:val="00076BDD"/>
    <w:rsid w:val="00081740"/>
    <w:rsid w:val="000821B0"/>
    <w:rsid w:val="000838AC"/>
    <w:rsid w:val="00090716"/>
    <w:rsid w:val="00090B89"/>
    <w:rsid w:val="00093F81"/>
    <w:rsid w:val="000958F8"/>
    <w:rsid w:val="000A21B0"/>
    <w:rsid w:val="000A35EE"/>
    <w:rsid w:val="000A663C"/>
    <w:rsid w:val="000A700E"/>
    <w:rsid w:val="000A7378"/>
    <w:rsid w:val="000B2584"/>
    <w:rsid w:val="000C09CE"/>
    <w:rsid w:val="000C640F"/>
    <w:rsid w:val="000D0047"/>
    <w:rsid w:val="000D1303"/>
    <w:rsid w:val="000D2EBC"/>
    <w:rsid w:val="000D715E"/>
    <w:rsid w:val="000F44CF"/>
    <w:rsid w:val="00104CEB"/>
    <w:rsid w:val="00112B99"/>
    <w:rsid w:val="00113CF5"/>
    <w:rsid w:val="00113DE4"/>
    <w:rsid w:val="001161F0"/>
    <w:rsid w:val="00121180"/>
    <w:rsid w:val="0012306F"/>
    <w:rsid w:val="001516AB"/>
    <w:rsid w:val="001519FB"/>
    <w:rsid w:val="00152640"/>
    <w:rsid w:val="00157288"/>
    <w:rsid w:val="0016040E"/>
    <w:rsid w:val="00162CEF"/>
    <w:rsid w:val="00163002"/>
    <w:rsid w:val="00174E6E"/>
    <w:rsid w:val="001805CB"/>
    <w:rsid w:val="00182A35"/>
    <w:rsid w:val="00183C1E"/>
    <w:rsid w:val="00185C21"/>
    <w:rsid w:val="001938E9"/>
    <w:rsid w:val="00194373"/>
    <w:rsid w:val="001A20F2"/>
    <w:rsid w:val="001A3545"/>
    <w:rsid w:val="001A5473"/>
    <w:rsid w:val="001A61B3"/>
    <w:rsid w:val="001A7189"/>
    <w:rsid w:val="001B1DB0"/>
    <w:rsid w:val="001B5B29"/>
    <w:rsid w:val="001B7A73"/>
    <w:rsid w:val="001C0B81"/>
    <w:rsid w:val="001C79A8"/>
    <w:rsid w:val="001D3C2E"/>
    <w:rsid w:val="001D660F"/>
    <w:rsid w:val="001E14B0"/>
    <w:rsid w:val="001E7AB9"/>
    <w:rsid w:val="001F3C0E"/>
    <w:rsid w:val="002069BC"/>
    <w:rsid w:val="002073DA"/>
    <w:rsid w:val="0021495F"/>
    <w:rsid w:val="0021591A"/>
    <w:rsid w:val="00220B24"/>
    <w:rsid w:val="00221713"/>
    <w:rsid w:val="00235817"/>
    <w:rsid w:val="00250B2A"/>
    <w:rsid w:val="00255576"/>
    <w:rsid w:val="00257814"/>
    <w:rsid w:val="002635A9"/>
    <w:rsid w:val="00263CD8"/>
    <w:rsid w:val="00274C25"/>
    <w:rsid w:val="00275575"/>
    <w:rsid w:val="002850B9"/>
    <w:rsid w:val="00286913"/>
    <w:rsid w:val="002926DD"/>
    <w:rsid w:val="00293B22"/>
    <w:rsid w:val="00294220"/>
    <w:rsid w:val="002A1288"/>
    <w:rsid w:val="002A42D6"/>
    <w:rsid w:val="002A4F19"/>
    <w:rsid w:val="002A7D28"/>
    <w:rsid w:val="002B4A1D"/>
    <w:rsid w:val="002B58D3"/>
    <w:rsid w:val="002B6196"/>
    <w:rsid w:val="002B72C0"/>
    <w:rsid w:val="002C24CB"/>
    <w:rsid w:val="002C5659"/>
    <w:rsid w:val="002D7ABD"/>
    <w:rsid w:val="002E0A85"/>
    <w:rsid w:val="002E0CD6"/>
    <w:rsid w:val="002E149D"/>
    <w:rsid w:val="002E35FF"/>
    <w:rsid w:val="002F1CDE"/>
    <w:rsid w:val="002F2963"/>
    <w:rsid w:val="002F450A"/>
    <w:rsid w:val="003026A2"/>
    <w:rsid w:val="00311E11"/>
    <w:rsid w:val="0031353A"/>
    <w:rsid w:val="00330D9F"/>
    <w:rsid w:val="00332DE4"/>
    <w:rsid w:val="00336502"/>
    <w:rsid w:val="0034307B"/>
    <w:rsid w:val="00345DA3"/>
    <w:rsid w:val="00355DEA"/>
    <w:rsid w:val="003676BD"/>
    <w:rsid w:val="00372B52"/>
    <w:rsid w:val="0039028E"/>
    <w:rsid w:val="00393268"/>
    <w:rsid w:val="00396B50"/>
    <w:rsid w:val="003A30FD"/>
    <w:rsid w:val="003B2A90"/>
    <w:rsid w:val="003B4724"/>
    <w:rsid w:val="003B4888"/>
    <w:rsid w:val="003C2A09"/>
    <w:rsid w:val="003C2A41"/>
    <w:rsid w:val="003C2D61"/>
    <w:rsid w:val="003C593C"/>
    <w:rsid w:val="003C752B"/>
    <w:rsid w:val="003D6671"/>
    <w:rsid w:val="003F0ACE"/>
    <w:rsid w:val="003F2976"/>
    <w:rsid w:val="003F34BF"/>
    <w:rsid w:val="00407637"/>
    <w:rsid w:val="0041524D"/>
    <w:rsid w:val="00417199"/>
    <w:rsid w:val="004241DF"/>
    <w:rsid w:val="004323B1"/>
    <w:rsid w:val="0043253D"/>
    <w:rsid w:val="00445C89"/>
    <w:rsid w:val="00450899"/>
    <w:rsid w:val="00452199"/>
    <w:rsid w:val="00453D55"/>
    <w:rsid w:val="004578CD"/>
    <w:rsid w:val="00461E50"/>
    <w:rsid w:val="004660F0"/>
    <w:rsid w:val="00467508"/>
    <w:rsid w:val="00487A7E"/>
    <w:rsid w:val="00490DF5"/>
    <w:rsid w:val="00495DA5"/>
    <w:rsid w:val="004A5FE3"/>
    <w:rsid w:val="004A734B"/>
    <w:rsid w:val="004B15B3"/>
    <w:rsid w:val="004B5EDD"/>
    <w:rsid w:val="004C165C"/>
    <w:rsid w:val="004C250E"/>
    <w:rsid w:val="004C27B6"/>
    <w:rsid w:val="004C785D"/>
    <w:rsid w:val="004D14D1"/>
    <w:rsid w:val="004D35FA"/>
    <w:rsid w:val="004D3A1F"/>
    <w:rsid w:val="004D4F03"/>
    <w:rsid w:val="004E02C0"/>
    <w:rsid w:val="004E07C8"/>
    <w:rsid w:val="004E0F8B"/>
    <w:rsid w:val="004E3E8F"/>
    <w:rsid w:val="004E40C2"/>
    <w:rsid w:val="004F1A7B"/>
    <w:rsid w:val="00504D33"/>
    <w:rsid w:val="005061FB"/>
    <w:rsid w:val="0050697C"/>
    <w:rsid w:val="00510E7C"/>
    <w:rsid w:val="0051243E"/>
    <w:rsid w:val="00514297"/>
    <w:rsid w:val="00516E68"/>
    <w:rsid w:val="00525494"/>
    <w:rsid w:val="005263C4"/>
    <w:rsid w:val="005269D1"/>
    <w:rsid w:val="005279E8"/>
    <w:rsid w:val="00534CCA"/>
    <w:rsid w:val="00534F9E"/>
    <w:rsid w:val="005403FC"/>
    <w:rsid w:val="00543B53"/>
    <w:rsid w:val="005476F8"/>
    <w:rsid w:val="005717BB"/>
    <w:rsid w:val="00577E22"/>
    <w:rsid w:val="00585ED0"/>
    <w:rsid w:val="005916D2"/>
    <w:rsid w:val="005A195E"/>
    <w:rsid w:val="005A229D"/>
    <w:rsid w:val="005A44C1"/>
    <w:rsid w:val="005B1D03"/>
    <w:rsid w:val="005B3C82"/>
    <w:rsid w:val="005B4176"/>
    <w:rsid w:val="005B6F12"/>
    <w:rsid w:val="005B78F1"/>
    <w:rsid w:val="005C03F3"/>
    <w:rsid w:val="005C0510"/>
    <w:rsid w:val="005C3F52"/>
    <w:rsid w:val="005D3820"/>
    <w:rsid w:val="005D3B86"/>
    <w:rsid w:val="005D522A"/>
    <w:rsid w:val="005E3E06"/>
    <w:rsid w:val="005E6651"/>
    <w:rsid w:val="005F79D0"/>
    <w:rsid w:val="0060098E"/>
    <w:rsid w:val="00603A5B"/>
    <w:rsid w:val="00610738"/>
    <w:rsid w:val="006119D2"/>
    <w:rsid w:val="00611CD4"/>
    <w:rsid w:val="00620019"/>
    <w:rsid w:val="0064258A"/>
    <w:rsid w:val="00647501"/>
    <w:rsid w:val="00647C52"/>
    <w:rsid w:val="00650A99"/>
    <w:rsid w:val="00651656"/>
    <w:rsid w:val="0066510A"/>
    <w:rsid w:val="006657DE"/>
    <w:rsid w:val="00666D64"/>
    <w:rsid w:val="00670BFD"/>
    <w:rsid w:val="00670D69"/>
    <w:rsid w:val="00671108"/>
    <w:rsid w:val="006721B9"/>
    <w:rsid w:val="00672722"/>
    <w:rsid w:val="00682D86"/>
    <w:rsid w:val="0068585F"/>
    <w:rsid w:val="00695308"/>
    <w:rsid w:val="00697DBE"/>
    <w:rsid w:val="006A0986"/>
    <w:rsid w:val="006A0C9D"/>
    <w:rsid w:val="006A2B08"/>
    <w:rsid w:val="006A644E"/>
    <w:rsid w:val="006A7F84"/>
    <w:rsid w:val="006B1954"/>
    <w:rsid w:val="006B2D4A"/>
    <w:rsid w:val="006C646E"/>
    <w:rsid w:val="006D2B4A"/>
    <w:rsid w:val="006E67AA"/>
    <w:rsid w:val="006F60C7"/>
    <w:rsid w:val="006F7409"/>
    <w:rsid w:val="0070120A"/>
    <w:rsid w:val="00702EBF"/>
    <w:rsid w:val="00704A4B"/>
    <w:rsid w:val="00711D75"/>
    <w:rsid w:val="00715C57"/>
    <w:rsid w:val="00716D8B"/>
    <w:rsid w:val="0072625D"/>
    <w:rsid w:val="007332AA"/>
    <w:rsid w:val="007437D3"/>
    <w:rsid w:val="007477E5"/>
    <w:rsid w:val="0075442C"/>
    <w:rsid w:val="00760EB4"/>
    <w:rsid w:val="00776F62"/>
    <w:rsid w:val="0077701F"/>
    <w:rsid w:val="007865C6"/>
    <w:rsid w:val="0078696E"/>
    <w:rsid w:val="007912E3"/>
    <w:rsid w:val="00794564"/>
    <w:rsid w:val="00797898"/>
    <w:rsid w:val="007A1260"/>
    <w:rsid w:val="007B70F7"/>
    <w:rsid w:val="007C31D2"/>
    <w:rsid w:val="007D0E2B"/>
    <w:rsid w:val="007D1DDA"/>
    <w:rsid w:val="007D58CA"/>
    <w:rsid w:val="007D70DE"/>
    <w:rsid w:val="007F2EE4"/>
    <w:rsid w:val="007F5F77"/>
    <w:rsid w:val="00802A37"/>
    <w:rsid w:val="00803A7B"/>
    <w:rsid w:val="008107C3"/>
    <w:rsid w:val="008138A1"/>
    <w:rsid w:val="00815D8C"/>
    <w:rsid w:val="00821F08"/>
    <w:rsid w:val="00823FDF"/>
    <w:rsid w:val="00825477"/>
    <w:rsid w:val="00833641"/>
    <w:rsid w:val="008378AE"/>
    <w:rsid w:val="00851407"/>
    <w:rsid w:val="00852E5E"/>
    <w:rsid w:val="00860564"/>
    <w:rsid w:val="008642AA"/>
    <w:rsid w:val="00864D05"/>
    <w:rsid w:val="0087550C"/>
    <w:rsid w:val="008764E7"/>
    <w:rsid w:val="008771E2"/>
    <w:rsid w:val="008825A8"/>
    <w:rsid w:val="00882C42"/>
    <w:rsid w:val="00885BB4"/>
    <w:rsid w:val="00886FEF"/>
    <w:rsid w:val="00890A2C"/>
    <w:rsid w:val="0089470E"/>
    <w:rsid w:val="008A74A1"/>
    <w:rsid w:val="008B5141"/>
    <w:rsid w:val="008C04B8"/>
    <w:rsid w:val="008C2E42"/>
    <w:rsid w:val="008C6D0A"/>
    <w:rsid w:val="008E126F"/>
    <w:rsid w:val="008F3A72"/>
    <w:rsid w:val="00903AE4"/>
    <w:rsid w:val="009108B1"/>
    <w:rsid w:val="0091158B"/>
    <w:rsid w:val="0091337D"/>
    <w:rsid w:val="009150E9"/>
    <w:rsid w:val="00925480"/>
    <w:rsid w:val="00927A95"/>
    <w:rsid w:val="00934CE3"/>
    <w:rsid w:val="0093672C"/>
    <w:rsid w:val="00945175"/>
    <w:rsid w:val="00950209"/>
    <w:rsid w:val="0095021B"/>
    <w:rsid w:val="00950601"/>
    <w:rsid w:val="00950BBC"/>
    <w:rsid w:val="0096112B"/>
    <w:rsid w:val="00963ECC"/>
    <w:rsid w:val="00964213"/>
    <w:rsid w:val="009645FB"/>
    <w:rsid w:val="00966EAD"/>
    <w:rsid w:val="009714D1"/>
    <w:rsid w:val="00975B51"/>
    <w:rsid w:val="009819A5"/>
    <w:rsid w:val="00985D37"/>
    <w:rsid w:val="00990B51"/>
    <w:rsid w:val="009A0306"/>
    <w:rsid w:val="009C00BC"/>
    <w:rsid w:val="009C651F"/>
    <w:rsid w:val="009C7179"/>
    <w:rsid w:val="009D2F7D"/>
    <w:rsid w:val="009D77B3"/>
    <w:rsid w:val="009E1898"/>
    <w:rsid w:val="009E1D85"/>
    <w:rsid w:val="009E6B7E"/>
    <w:rsid w:val="009F1361"/>
    <w:rsid w:val="009F3906"/>
    <w:rsid w:val="009F3EB0"/>
    <w:rsid w:val="009F4E81"/>
    <w:rsid w:val="009F69C9"/>
    <w:rsid w:val="00A00342"/>
    <w:rsid w:val="00A02A1D"/>
    <w:rsid w:val="00A160FC"/>
    <w:rsid w:val="00A239C9"/>
    <w:rsid w:val="00A26EBF"/>
    <w:rsid w:val="00A32B75"/>
    <w:rsid w:val="00A34FD5"/>
    <w:rsid w:val="00A3768F"/>
    <w:rsid w:val="00A4313F"/>
    <w:rsid w:val="00A4661C"/>
    <w:rsid w:val="00A61A49"/>
    <w:rsid w:val="00A63883"/>
    <w:rsid w:val="00A82806"/>
    <w:rsid w:val="00A8655D"/>
    <w:rsid w:val="00AA20A8"/>
    <w:rsid w:val="00AA75DD"/>
    <w:rsid w:val="00AA7C31"/>
    <w:rsid w:val="00AB1727"/>
    <w:rsid w:val="00AB3832"/>
    <w:rsid w:val="00AB3976"/>
    <w:rsid w:val="00AC4DE2"/>
    <w:rsid w:val="00AC5CBF"/>
    <w:rsid w:val="00AC6DD0"/>
    <w:rsid w:val="00AD2A23"/>
    <w:rsid w:val="00AD3A13"/>
    <w:rsid w:val="00AD4994"/>
    <w:rsid w:val="00AD4BD4"/>
    <w:rsid w:val="00AD67A2"/>
    <w:rsid w:val="00AE140C"/>
    <w:rsid w:val="00AE265A"/>
    <w:rsid w:val="00AE26F7"/>
    <w:rsid w:val="00AE3D82"/>
    <w:rsid w:val="00AE45E6"/>
    <w:rsid w:val="00AF49B0"/>
    <w:rsid w:val="00B2404C"/>
    <w:rsid w:val="00B266C9"/>
    <w:rsid w:val="00B343E0"/>
    <w:rsid w:val="00B56E4D"/>
    <w:rsid w:val="00B6219B"/>
    <w:rsid w:val="00B64675"/>
    <w:rsid w:val="00B67042"/>
    <w:rsid w:val="00B7547A"/>
    <w:rsid w:val="00B842ED"/>
    <w:rsid w:val="00B84BA4"/>
    <w:rsid w:val="00B85B91"/>
    <w:rsid w:val="00B9277D"/>
    <w:rsid w:val="00B9761F"/>
    <w:rsid w:val="00BA5FB5"/>
    <w:rsid w:val="00BB19F9"/>
    <w:rsid w:val="00BB32A2"/>
    <w:rsid w:val="00BB3ECB"/>
    <w:rsid w:val="00BC07C2"/>
    <w:rsid w:val="00BC0831"/>
    <w:rsid w:val="00BC5C7D"/>
    <w:rsid w:val="00BD0078"/>
    <w:rsid w:val="00BD2E16"/>
    <w:rsid w:val="00BD5D70"/>
    <w:rsid w:val="00BD6132"/>
    <w:rsid w:val="00BE162A"/>
    <w:rsid w:val="00BF5484"/>
    <w:rsid w:val="00BF5B70"/>
    <w:rsid w:val="00BF7D08"/>
    <w:rsid w:val="00C03D50"/>
    <w:rsid w:val="00C1617D"/>
    <w:rsid w:val="00C23182"/>
    <w:rsid w:val="00C24DAB"/>
    <w:rsid w:val="00C25A98"/>
    <w:rsid w:val="00C276A2"/>
    <w:rsid w:val="00C36BE7"/>
    <w:rsid w:val="00C41FF1"/>
    <w:rsid w:val="00C47F06"/>
    <w:rsid w:val="00C50D9F"/>
    <w:rsid w:val="00C5140F"/>
    <w:rsid w:val="00C75A43"/>
    <w:rsid w:val="00C82913"/>
    <w:rsid w:val="00C83DA8"/>
    <w:rsid w:val="00C851B6"/>
    <w:rsid w:val="00C90C00"/>
    <w:rsid w:val="00C90DFD"/>
    <w:rsid w:val="00C91360"/>
    <w:rsid w:val="00C97FA6"/>
    <w:rsid w:val="00CA7B41"/>
    <w:rsid w:val="00CB003D"/>
    <w:rsid w:val="00CB344A"/>
    <w:rsid w:val="00CB4DF8"/>
    <w:rsid w:val="00CC0F65"/>
    <w:rsid w:val="00CE021C"/>
    <w:rsid w:val="00CE5431"/>
    <w:rsid w:val="00CE6524"/>
    <w:rsid w:val="00CF6774"/>
    <w:rsid w:val="00CF6FFB"/>
    <w:rsid w:val="00D00E1E"/>
    <w:rsid w:val="00D017CC"/>
    <w:rsid w:val="00D03499"/>
    <w:rsid w:val="00D03F06"/>
    <w:rsid w:val="00D206AB"/>
    <w:rsid w:val="00D2350A"/>
    <w:rsid w:val="00D23F9F"/>
    <w:rsid w:val="00D277FA"/>
    <w:rsid w:val="00D30E71"/>
    <w:rsid w:val="00D361B0"/>
    <w:rsid w:val="00D376F6"/>
    <w:rsid w:val="00D42439"/>
    <w:rsid w:val="00D425A3"/>
    <w:rsid w:val="00D47221"/>
    <w:rsid w:val="00D57510"/>
    <w:rsid w:val="00D61496"/>
    <w:rsid w:val="00D718F8"/>
    <w:rsid w:val="00D73986"/>
    <w:rsid w:val="00D76645"/>
    <w:rsid w:val="00D7772B"/>
    <w:rsid w:val="00D81FD7"/>
    <w:rsid w:val="00D9126F"/>
    <w:rsid w:val="00DA7321"/>
    <w:rsid w:val="00DA777E"/>
    <w:rsid w:val="00DB024F"/>
    <w:rsid w:val="00DB1424"/>
    <w:rsid w:val="00DB24E7"/>
    <w:rsid w:val="00DB56D2"/>
    <w:rsid w:val="00DC6CC7"/>
    <w:rsid w:val="00DE03C3"/>
    <w:rsid w:val="00DE3D85"/>
    <w:rsid w:val="00DE6180"/>
    <w:rsid w:val="00DE7B4B"/>
    <w:rsid w:val="00DF0897"/>
    <w:rsid w:val="00E04D0C"/>
    <w:rsid w:val="00E126C1"/>
    <w:rsid w:val="00E21708"/>
    <w:rsid w:val="00E35A26"/>
    <w:rsid w:val="00E36993"/>
    <w:rsid w:val="00E41E1C"/>
    <w:rsid w:val="00E44E11"/>
    <w:rsid w:val="00E66758"/>
    <w:rsid w:val="00E674EA"/>
    <w:rsid w:val="00E67D6E"/>
    <w:rsid w:val="00E80CF1"/>
    <w:rsid w:val="00E91F82"/>
    <w:rsid w:val="00E96165"/>
    <w:rsid w:val="00E962C6"/>
    <w:rsid w:val="00E96642"/>
    <w:rsid w:val="00EA18D2"/>
    <w:rsid w:val="00EB14A4"/>
    <w:rsid w:val="00EB7657"/>
    <w:rsid w:val="00EC2160"/>
    <w:rsid w:val="00EC5B77"/>
    <w:rsid w:val="00EC6338"/>
    <w:rsid w:val="00ED0591"/>
    <w:rsid w:val="00EE148A"/>
    <w:rsid w:val="00EE50CF"/>
    <w:rsid w:val="00EF39B1"/>
    <w:rsid w:val="00F01189"/>
    <w:rsid w:val="00F103E2"/>
    <w:rsid w:val="00F1112D"/>
    <w:rsid w:val="00F15285"/>
    <w:rsid w:val="00F2119D"/>
    <w:rsid w:val="00F2523B"/>
    <w:rsid w:val="00F3746B"/>
    <w:rsid w:val="00F3776E"/>
    <w:rsid w:val="00F437CA"/>
    <w:rsid w:val="00F503A2"/>
    <w:rsid w:val="00F5119A"/>
    <w:rsid w:val="00F5158B"/>
    <w:rsid w:val="00F56582"/>
    <w:rsid w:val="00F57E1D"/>
    <w:rsid w:val="00F64422"/>
    <w:rsid w:val="00F720C3"/>
    <w:rsid w:val="00F818A8"/>
    <w:rsid w:val="00F823D2"/>
    <w:rsid w:val="00F87D79"/>
    <w:rsid w:val="00F90078"/>
    <w:rsid w:val="00F90819"/>
    <w:rsid w:val="00F97DA5"/>
    <w:rsid w:val="00FA0DA2"/>
    <w:rsid w:val="00FA1371"/>
    <w:rsid w:val="00FA5FE7"/>
    <w:rsid w:val="00FA7120"/>
    <w:rsid w:val="00FC0A02"/>
    <w:rsid w:val="00FC0FFA"/>
    <w:rsid w:val="00FC26D6"/>
    <w:rsid w:val="00FD700F"/>
    <w:rsid w:val="00FE0477"/>
    <w:rsid w:val="00FE197E"/>
    <w:rsid w:val="00FE22E1"/>
    <w:rsid w:val="00FE7642"/>
    <w:rsid w:val="00FF06FC"/>
    <w:rsid w:val="00FF0953"/>
    <w:rsid w:val="00FF0DF4"/>
    <w:rsid w:val="00FF1D18"/>
    <w:rsid w:val="00FF24D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60D3071-2477-426B-A80A-60A32173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26F"/>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50A99"/>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iPriority w:val="99"/>
    <w:semiHidden/>
    <w:unhideWhenUsed/>
    <w:rsid w:val="00670D69"/>
    <w:pPr>
      <w:spacing w:before="100" w:beforeAutospacing="1" w:after="100" w:afterAutospacing="1"/>
    </w:pPr>
    <w:rPr>
      <w:rFonts w:ascii="Times New Roman" w:hAnsi="Times New Roman"/>
      <w:szCs w:val="24"/>
      <w:lang w:eastAsia="es-CO"/>
    </w:rPr>
  </w:style>
  <w:style w:type="table" w:styleId="Tablaconcuadrcula">
    <w:name w:val="Table Grid"/>
    <w:basedOn w:val="Tablanormal"/>
    <w:uiPriority w:val="59"/>
    <w:rsid w:val="00AE4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BF5B70"/>
    <w:pPr>
      <w:spacing w:after="0" w:line="240" w:lineRule="auto"/>
    </w:pPr>
  </w:style>
  <w:style w:type="paragraph" w:styleId="Prrafodelista">
    <w:name w:val="List Paragraph"/>
    <w:basedOn w:val="Normal"/>
    <w:uiPriority w:val="34"/>
    <w:qFormat/>
    <w:rsid w:val="00945175"/>
    <w:pPr>
      <w:ind w:left="720"/>
      <w:contextualSpacing/>
    </w:pPr>
  </w:style>
  <w:style w:type="table" w:customStyle="1" w:styleId="Tablaconcuadrcula1">
    <w:name w:val="Tabla con cuadrícula1"/>
    <w:basedOn w:val="Tablanormal"/>
    <w:next w:val="Tablaconcuadrcula"/>
    <w:uiPriority w:val="59"/>
    <w:rsid w:val="00183C1E"/>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5337">
      <w:bodyDiv w:val="1"/>
      <w:marLeft w:val="0"/>
      <w:marRight w:val="0"/>
      <w:marTop w:val="0"/>
      <w:marBottom w:val="0"/>
      <w:divBdr>
        <w:top w:val="none" w:sz="0" w:space="0" w:color="auto"/>
        <w:left w:val="none" w:sz="0" w:space="0" w:color="auto"/>
        <w:bottom w:val="none" w:sz="0" w:space="0" w:color="auto"/>
        <w:right w:val="none" w:sz="0" w:space="0" w:color="auto"/>
      </w:divBdr>
    </w:div>
    <w:div w:id="182482781">
      <w:bodyDiv w:val="1"/>
      <w:marLeft w:val="0"/>
      <w:marRight w:val="0"/>
      <w:marTop w:val="0"/>
      <w:marBottom w:val="0"/>
      <w:divBdr>
        <w:top w:val="none" w:sz="0" w:space="0" w:color="auto"/>
        <w:left w:val="none" w:sz="0" w:space="0" w:color="auto"/>
        <w:bottom w:val="none" w:sz="0" w:space="0" w:color="auto"/>
        <w:right w:val="none" w:sz="0" w:space="0" w:color="auto"/>
      </w:divBdr>
    </w:div>
    <w:div w:id="237400714">
      <w:bodyDiv w:val="1"/>
      <w:marLeft w:val="0"/>
      <w:marRight w:val="0"/>
      <w:marTop w:val="0"/>
      <w:marBottom w:val="0"/>
      <w:divBdr>
        <w:top w:val="none" w:sz="0" w:space="0" w:color="auto"/>
        <w:left w:val="none" w:sz="0" w:space="0" w:color="auto"/>
        <w:bottom w:val="none" w:sz="0" w:space="0" w:color="auto"/>
        <w:right w:val="none" w:sz="0" w:space="0" w:color="auto"/>
      </w:divBdr>
    </w:div>
    <w:div w:id="996104533">
      <w:bodyDiv w:val="1"/>
      <w:marLeft w:val="0"/>
      <w:marRight w:val="0"/>
      <w:marTop w:val="0"/>
      <w:marBottom w:val="0"/>
      <w:divBdr>
        <w:top w:val="none" w:sz="0" w:space="0" w:color="auto"/>
        <w:left w:val="none" w:sz="0" w:space="0" w:color="auto"/>
        <w:bottom w:val="none" w:sz="0" w:space="0" w:color="auto"/>
        <w:right w:val="none" w:sz="0" w:space="0" w:color="auto"/>
      </w:divBdr>
    </w:div>
    <w:div w:id="165074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B7CE1-525B-434B-8233-7CD3B766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1626</Words>
  <Characters>8943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USER</cp:lastModifiedBy>
  <cp:revision>11</cp:revision>
  <cp:lastPrinted>2016-12-25T21:21:00Z</cp:lastPrinted>
  <dcterms:created xsi:type="dcterms:W3CDTF">2016-10-31T19:32:00Z</dcterms:created>
  <dcterms:modified xsi:type="dcterms:W3CDTF">2016-12-25T21:21:00Z</dcterms:modified>
</cp:coreProperties>
</file>